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5D497" w14:textId="77777777" w:rsidR="00E53A17" w:rsidRDefault="00B05B9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3 (Charges)</w:t>
      </w:r>
    </w:p>
    <w:p w14:paraId="08498358" w14:textId="77777777" w:rsidR="00E53A17" w:rsidRDefault="00B05B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How Charges are calculated </w:t>
      </w:r>
    </w:p>
    <w:p w14:paraId="07407C52" w14:textId="77777777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Charges:</w:t>
      </w:r>
    </w:p>
    <w:p w14:paraId="4FEE15DA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shall be calculated in accordance with the terms of this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Schedule;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7BC931A5" w14:textId="0FA7D19E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cannot be increased except as specifically permitted by this Schedule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particular shall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only be subject to Indexation where specifically stated in the Award Form; and]</w:t>
      </w:r>
    </w:p>
    <w:p w14:paraId="708284E5" w14:textId="464FEC72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Any variation to the Charges payabl</w:t>
      </w:r>
      <w:r>
        <w:rPr>
          <w:rFonts w:ascii="Arial" w:eastAsia="Arial" w:hAnsi="Arial" w:cs="Arial"/>
          <w:color w:val="000000"/>
          <w:sz w:val="24"/>
          <w:szCs w:val="24"/>
        </w:rPr>
        <w:t>e under a Contract must be agreed between the Supplier and the Buyer and implemented using the procedure set out in this Schedule.</w:t>
      </w:r>
    </w:p>
    <w:p w14:paraId="5A312C11" w14:textId="77777777" w:rsidR="00E53A17" w:rsidRDefault="00B05B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The pricing mechanisms</w:t>
      </w:r>
    </w:p>
    <w:p w14:paraId="2B747127" w14:textId="77777777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pricing mechanisms and prices set out in Annex 1 shall be available for use in calculation of Charges in the Contract.</w:t>
      </w:r>
    </w:p>
    <w:p w14:paraId="2D25AB01" w14:textId="77777777" w:rsidR="00E53A17" w:rsidRDefault="00B05B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3" w:name="bookmark=id.2et92p0" w:colFirst="0" w:colLast="0"/>
      <w:bookmarkStart w:id="4" w:name="_heading=h.3znysh7" w:colFirst="0" w:colLast="0"/>
      <w:bookmarkEnd w:id="3"/>
      <w:bookmarkEnd w:id="4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Are costs and expenses included in the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>Charges</w:t>
      </w:r>
      <w:proofErr w:type="gramEnd"/>
    </w:p>
    <w:p w14:paraId="191E03EE" w14:textId="24BF33B9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xcept as expressly set out in Paragraph 4 below, </w:t>
      </w:r>
      <w:r>
        <w:rPr>
          <w:rFonts w:ascii="Arial" w:eastAsia="Arial" w:hAnsi="Arial" w:cs="Arial"/>
          <w:color w:val="000000"/>
          <w:sz w:val="24"/>
          <w:szCs w:val="24"/>
        </w:rPr>
        <w:t>or otherwise stated in the Award Form] the Charges shall include all costs and expenses relating to the provision of Deliverables. No further amounts shall be payable in respect of matters such as:</w:t>
      </w:r>
    </w:p>
    <w:p w14:paraId="2F898EA3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incidental expenses such as travel, subsistence and lodging, document or report reproduction, shipping, desktop or office equipment costs, network or data interchange costs or other telecommunications charges; or</w:t>
      </w:r>
    </w:p>
    <w:p w14:paraId="4B31E080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costs incurred prior to the commencement of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the Contract.</w:t>
      </w:r>
    </w:p>
    <w:p w14:paraId="537E6DCF" w14:textId="77777777" w:rsidR="00E53A17" w:rsidRDefault="00B05B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When the Supplier can ask to change the Charges</w:t>
      </w:r>
    </w:p>
    <w:p w14:paraId="344779D6" w14:textId="26D9C66C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Charges will be fixed for the first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three </w:t>
      </w:r>
      <w:r>
        <w:rPr>
          <w:rFonts w:ascii="Arial" w:eastAsia="Arial" w:hAnsi="Arial" w:cs="Arial"/>
          <w:color w:val="000000"/>
          <w:sz w:val="24"/>
          <w:szCs w:val="24"/>
        </w:rPr>
        <w:t>years following the Contract Commencement Date (the date of expiry of such period is a "</w:t>
      </w:r>
      <w:r>
        <w:rPr>
          <w:rFonts w:ascii="Arial" w:eastAsia="Arial" w:hAnsi="Arial" w:cs="Arial"/>
          <w:b/>
          <w:color w:val="000000"/>
          <w:sz w:val="24"/>
          <w:szCs w:val="24"/>
        </w:rPr>
        <w:t>Review Date</w:t>
      </w:r>
      <w:r>
        <w:rPr>
          <w:rFonts w:ascii="Arial" w:eastAsia="Arial" w:hAnsi="Arial" w:cs="Arial"/>
          <w:color w:val="000000"/>
          <w:sz w:val="24"/>
          <w:szCs w:val="24"/>
        </w:rPr>
        <w:t>").  After this Charges can only be adjusted on each following yearly anniversary (the date of each such anniversary is also a "</w:t>
      </w:r>
      <w:r>
        <w:rPr>
          <w:rFonts w:ascii="Arial" w:eastAsia="Arial" w:hAnsi="Arial" w:cs="Arial"/>
          <w:b/>
          <w:color w:val="000000"/>
          <w:sz w:val="24"/>
          <w:szCs w:val="24"/>
        </w:rPr>
        <w:t>Review Date</w:t>
      </w:r>
      <w:r>
        <w:rPr>
          <w:rFonts w:ascii="Arial" w:eastAsia="Arial" w:hAnsi="Arial" w:cs="Arial"/>
          <w:color w:val="000000"/>
          <w:sz w:val="24"/>
          <w:szCs w:val="24"/>
        </w:rPr>
        <w:t>").</w:t>
      </w:r>
    </w:p>
    <w:p w14:paraId="3519E634" w14:textId="77777777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bookmarkStart w:id="5" w:name="_heading=h.tyjcwt" w:colFirst="0" w:colLast="0"/>
      <w:bookmarkEnd w:id="5"/>
      <w:r>
        <w:rPr>
          <w:rFonts w:ascii="Arial" w:eastAsia="Arial" w:hAnsi="Arial" w:cs="Arial"/>
          <w:color w:val="000000"/>
          <w:sz w:val="24"/>
          <w:szCs w:val="24"/>
        </w:rPr>
        <w:t xml:space="preserve">The Supplier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shall give the Buyer at least three (3) Months' notice in writing prior to a Review Date where it wants to request an increase.  If the Supplier does not give notice in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time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then it will only be able to request an increase prior to the next Review Date.</w:t>
      </w:r>
    </w:p>
    <w:p w14:paraId="3DA11C1A" w14:textId="77777777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z w:val="24"/>
          <w:szCs w:val="24"/>
        </w:rPr>
        <w:t>y notice requesting an increase shall include:</w:t>
      </w:r>
    </w:p>
    <w:p w14:paraId="68BFE8A9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list of the Charges to be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reviewed;</w:t>
      </w:r>
      <w:proofErr w:type="gramEnd"/>
    </w:p>
    <w:p w14:paraId="254D85B8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each of the Charges under review, written evidence of the justification for the requested increase including:</w:t>
      </w:r>
    </w:p>
    <w:p w14:paraId="2A0FB405" w14:textId="77777777" w:rsidR="00E53A17" w:rsidRPr="00B05B92" w:rsidRDefault="00B05B92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552"/>
        </w:tabs>
        <w:spacing w:before="120" w:after="120" w:line="240" w:lineRule="auto"/>
        <w:ind w:left="1985" w:hanging="815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B05B92">
        <w:rPr>
          <w:rFonts w:ascii="Arial" w:eastAsia="Arial" w:hAnsi="Arial" w:cs="Arial"/>
          <w:color w:val="000000"/>
          <w:sz w:val="24"/>
          <w:szCs w:val="24"/>
        </w:rPr>
        <w:lastRenderedPageBreak/>
        <w:t>[a breakdown of the profit and cost components that comprise the relevant part of the Charges</w:t>
      </w:r>
      <w:proofErr w:type="gramStart"/>
      <w:r w:rsidRPr="00B05B92">
        <w:rPr>
          <w:rFonts w:ascii="Arial" w:eastAsia="Arial" w:hAnsi="Arial" w:cs="Arial"/>
          <w:color w:val="000000"/>
          <w:sz w:val="24"/>
          <w:szCs w:val="24"/>
        </w:rPr>
        <w:t>; ]</w:t>
      </w:r>
      <w:proofErr w:type="gramEnd"/>
    </w:p>
    <w:p w14:paraId="34607A8D" w14:textId="77777777" w:rsidR="00E53A17" w:rsidRPr="00B05B92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B05B92">
        <w:rPr>
          <w:rFonts w:ascii="Arial" w:eastAsia="Arial" w:hAnsi="Arial" w:cs="Arial"/>
          <w:color w:val="000000"/>
          <w:sz w:val="24"/>
          <w:szCs w:val="24"/>
        </w:rPr>
        <w:t>The Buyer shall consider each request for a price increase.  The Buyer may grant Approval to an increase at its sole discretion.</w:t>
      </w:r>
    </w:p>
    <w:p w14:paraId="744A5573" w14:textId="77777777" w:rsidR="00E53A17" w:rsidRPr="00B05B92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B05B92">
        <w:rPr>
          <w:rFonts w:ascii="Arial" w:eastAsia="Arial" w:hAnsi="Arial" w:cs="Arial"/>
          <w:color w:val="000000"/>
          <w:sz w:val="24"/>
          <w:szCs w:val="24"/>
        </w:rPr>
        <w:t>Where the Buyer approves an increase then it will be implemented from the first (1st) Working Day following the relevant Review</w:t>
      </w:r>
      <w:r w:rsidRPr="00B05B92">
        <w:rPr>
          <w:rFonts w:ascii="Arial" w:eastAsia="Arial" w:hAnsi="Arial" w:cs="Arial"/>
          <w:color w:val="000000"/>
          <w:sz w:val="24"/>
          <w:szCs w:val="24"/>
        </w:rPr>
        <w:t xml:space="preserve"> Date or such later date as the Buyer may determine at its sole discretion and Annex 1 shall be updated accordingly.</w:t>
      </w:r>
    </w:p>
    <w:p w14:paraId="62BD2200" w14:textId="77777777" w:rsidR="00E53A17" w:rsidRDefault="00B05B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Other events that allow the Supplier to change the Charges</w:t>
      </w:r>
    </w:p>
    <w:p w14:paraId="0CCE3258" w14:textId="77777777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 can also be varied (and Annex 1 will be updated accordingly) due to:</w:t>
      </w:r>
    </w:p>
    <w:p w14:paraId="5D6E135D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Specific Change in Law in accordance with 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24;</w:t>
      </w:r>
      <w:proofErr w:type="gramEnd"/>
    </w:p>
    <w:p w14:paraId="62E9B5DE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review in accordance with insurance requirements in 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13;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1B28C528" w14:textId="63E2624A" w:rsidR="00E53A17" w:rsidRPr="00B05B92" w:rsidRDefault="00B05B92" w:rsidP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request from the Supplier, which it can make at any time, to decrease the Charges; and </w:t>
      </w:r>
      <w:r w:rsidRPr="00B05B92">
        <w:rPr>
          <w:rFonts w:ascii="Arial" w:eastAsia="Arial" w:hAnsi="Arial" w:cs="Arial"/>
          <w:color w:val="000000"/>
          <w:sz w:val="24"/>
          <w:szCs w:val="24"/>
        </w:rPr>
        <w:t xml:space="preserve">indexation, where Annex 1 states that a particular Charge or any component is “subject to Indexation” in which event Paragraph 7 below shall apply.] </w:t>
      </w:r>
    </w:p>
    <w:p w14:paraId="06204496" w14:textId="77777777" w:rsidR="00E53A17" w:rsidRPr="00B05B92" w:rsidRDefault="00B05B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B05B92">
        <w:rPr>
          <w:rFonts w:ascii="Arial" w:eastAsia="Arial" w:hAnsi="Arial" w:cs="Arial"/>
          <w:b/>
          <w:color w:val="000000"/>
          <w:sz w:val="24"/>
          <w:szCs w:val="24"/>
        </w:rPr>
        <w:t xml:space="preserve">[Delete </w:t>
      </w:r>
      <w:r w:rsidRPr="00B05B92">
        <w:rPr>
          <w:rFonts w:ascii="Arial" w:eastAsia="Arial" w:hAnsi="Arial" w:cs="Arial"/>
          <w:b/>
          <w:sz w:val="24"/>
          <w:szCs w:val="24"/>
        </w:rPr>
        <w:t>P</w:t>
      </w:r>
      <w:r w:rsidRPr="00B05B92">
        <w:rPr>
          <w:rFonts w:ascii="Arial" w:eastAsia="Arial" w:hAnsi="Arial" w:cs="Arial"/>
          <w:b/>
          <w:color w:val="000000"/>
          <w:sz w:val="24"/>
          <w:szCs w:val="24"/>
        </w:rPr>
        <w:t xml:space="preserve">aragraph if not applicable: When the Charges are linked to inflation] </w:t>
      </w:r>
    </w:p>
    <w:p w14:paraId="1EF3D2AF" w14:textId="3A2C5657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</w:t>
      </w:r>
      <w:r w:rsidRPr="00B05B92">
        <w:rPr>
          <w:rFonts w:ascii="Arial" w:eastAsia="Arial" w:hAnsi="Arial" w:cs="Arial"/>
          <w:bCs/>
          <w:color w:val="000000"/>
          <w:sz w:val="24"/>
          <w:szCs w:val="24"/>
        </w:rPr>
        <w:t>charges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are stated to be "subject to Indexation" they shall be adjusted in line with changes in the Consumer Price Index ("CPI").  All other costs, expenses,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fees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and charges shall not be a</w:t>
      </w:r>
      <w:r>
        <w:rPr>
          <w:rFonts w:ascii="Arial" w:eastAsia="Arial" w:hAnsi="Arial" w:cs="Arial"/>
          <w:color w:val="000000"/>
          <w:sz w:val="24"/>
          <w:szCs w:val="24"/>
        </w:rPr>
        <w:t>djusted to take account of any inflation, change to exchange rate, change to interest rate or any other factor or element which might otherwise increase the cost to the Supplier.</w:t>
      </w:r>
    </w:p>
    <w:p w14:paraId="0AE65327" w14:textId="17A12D9F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Charges shall not be indexed during the first </w:t>
      </w:r>
      <w:r w:rsidRPr="00B05B92">
        <w:rPr>
          <w:rFonts w:ascii="Arial" w:eastAsia="Arial" w:hAnsi="Arial" w:cs="Arial"/>
          <w:bCs/>
          <w:color w:val="000000"/>
          <w:sz w:val="24"/>
          <w:szCs w:val="24"/>
        </w:rPr>
        <w:t>three</w:t>
      </w:r>
      <w:r w:rsidRPr="00B05B92">
        <w:rPr>
          <w:rFonts w:ascii="Arial" w:eastAsia="Arial" w:hAnsi="Arial" w:cs="Arial"/>
          <w:bCs/>
          <w:color w:val="000000"/>
          <w:sz w:val="24"/>
          <w:szCs w:val="24"/>
        </w:rPr>
        <w:t xml:space="preserve"> years </w:t>
      </w:r>
      <w:r>
        <w:rPr>
          <w:rFonts w:ascii="Arial" w:eastAsia="Arial" w:hAnsi="Arial" w:cs="Arial"/>
          <w:color w:val="000000"/>
          <w:sz w:val="24"/>
          <w:szCs w:val="24"/>
        </w:rPr>
        <w:t>followin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g the Contract Commencement Date.  </w:t>
      </w:r>
    </w:p>
    <w:p w14:paraId="4110AEE6" w14:textId="7EF3AB23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Annex 1 states a Charge is subject to Indexation then it will be indexed on the date which is</w:t>
      </w:r>
      <w:r w:rsidRPr="00B05B92">
        <w:rPr>
          <w:rFonts w:ascii="Arial" w:eastAsia="Arial" w:hAnsi="Arial" w:cs="Arial"/>
          <w:bCs/>
          <w:color w:val="000000"/>
          <w:sz w:val="24"/>
          <w:szCs w:val="24"/>
        </w:rPr>
        <w:t xml:space="preserve"> three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years after the Commencement Date to reflect the percentage change in the CPI since the Commencement Da</w:t>
      </w:r>
      <w:r>
        <w:rPr>
          <w:rFonts w:ascii="Arial" w:eastAsia="Arial" w:hAnsi="Arial" w:cs="Arial"/>
          <w:color w:val="000000"/>
          <w:sz w:val="24"/>
          <w:szCs w:val="24"/>
        </w:rPr>
        <w:t>te.  They shall be indexed on each following yearly anniversary to reflect the percentage change in the CPI since the previous change.</w:t>
      </w:r>
    </w:p>
    <w:p w14:paraId="38127C15" w14:textId="77777777" w:rsidR="00E53A17" w:rsidRDefault="00B05B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the CPI Index:</w:t>
      </w:r>
    </w:p>
    <w:p w14:paraId="382EF2E4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used to carry out an indexation calculation is updated (for example due to it being provisional) the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 the indexation calculation shall also be updated unless the Buyer and the Supplier agree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otherwise;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7C28F6AE" w14:textId="77777777" w:rsidR="00E53A17" w:rsidRDefault="00B05B9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is no longer published, the Buyer and the Supplier shall agree a fair and reasonable replacement that will have substantially the same effect.]</w:t>
      </w:r>
    </w:p>
    <w:p w14:paraId="6584F27D" w14:textId="77777777" w:rsidR="00E53A17" w:rsidRDefault="00E53A17" w:rsidP="00B05B92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656" w:hanging="1372"/>
        <w:rPr>
          <w:rFonts w:ascii="Arial" w:eastAsia="Arial" w:hAnsi="Arial" w:cs="Arial"/>
          <w:color w:val="000000"/>
          <w:sz w:val="24"/>
          <w:szCs w:val="24"/>
        </w:rPr>
      </w:pPr>
    </w:p>
    <w:p w14:paraId="385789F7" w14:textId="77777777" w:rsidR="00E53A17" w:rsidRDefault="00B05B92">
      <w:pPr>
        <w:rPr>
          <w:rFonts w:ascii="Arial" w:eastAsia="Arial" w:hAnsi="Arial" w:cs="Arial"/>
          <w:b/>
          <w:sz w:val="36"/>
          <w:szCs w:val="36"/>
        </w:rPr>
      </w:pPr>
      <w:bookmarkStart w:id="6" w:name="_heading=h.1t3h5sf" w:colFirst="0" w:colLast="0"/>
      <w:bookmarkEnd w:id="6"/>
      <w:r>
        <w:br w:type="page"/>
      </w:r>
      <w:r>
        <w:rPr>
          <w:rFonts w:ascii="Arial" w:eastAsia="Arial" w:hAnsi="Arial" w:cs="Arial"/>
          <w:b/>
          <w:sz w:val="36"/>
          <w:szCs w:val="36"/>
        </w:rPr>
        <w:lastRenderedPageBreak/>
        <w:t>Annex 1: Rates and Prices</w:t>
      </w:r>
    </w:p>
    <w:p w14:paraId="758EDC7C" w14:textId="77777777" w:rsidR="00E53A17" w:rsidRDefault="00B05B9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Table 1: Time and Materials</w:t>
      </w:r>
    </w:p>
    <w:p w14:paraId="04AD84DA" w14:textId="77777777" w:rsidR="00E53A17" w:rsidRDefault="00B05B9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Supplier (and its Sub-Contractor) shall not be entitled to include any uplift for risks or contingencies within its day ra</w:t>
      </w:r>
      <w:r>
        <w:rPr>
          <w:rFonts w:ascii="Arial" w:eastAsia="Arial" w:hAnsi="Arial" w:cs="Arial"/>
          <w:color w:val="000000"/>
          <w:sz w:val="24"/>
          <w:szCs w:val="24"/>
        </w:rPr>
        <w:t>tes</w:t>
      </w:r>
    </w:p>
    <w:p w14:paraId="0FCE3FCB" w14:textId="77777777" w:rsidR="00E53A17" w:rsidRDefault="00B05B92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hanging="426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The rates below shall [not] be subject to variation by way of Indexation</w:t>
      </w:r>
    </w:p>
    <w:tbl>
      <w:tblPr>
        <w:tblStyle w:val="a"/>
        <w:tblW w:w="901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566"/>
      </w:tblGrid>
      <w:tr w:rsidR="00E53A17" w14:paraId="4A7045F0" w14:textId="77777777">
        <w:tc>
          <w:tcPr>
            <w:tcW w:w="4450" w:type="dxa"/>
            <w:shd w:val="clear" w:color="auto" w:fill="548DD4"/>
          </w:tcPr>
          <w:p w14:paraId="767202BE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Staff Grade</w:t>
            </w:r>
          </w:p>
        </w:tc>
        <w:tc>
          <w:tcPr>
            <w:tcW w:w="4566" w:type="dxa"/>
            <w:shd w:val="clear" w:color="auto" w:fill="548DD4"/>
          </w:tcPr>
          <w:p w14:paraId="0EE0357A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Day Rate (£)</w:t>
            </w:r>
          </w:p>
        </w:tc>
      </w:tr>
      <w:tr w:rsidR="00E53A17" w14:paraId="38600453" w14:textId="77777777">
        <w:tc>
          <w:tcPr>
            <w:tcW w:w="4450" w:type="dxa"/>
          </w:tcPr>
          <w:p w14:paraId="5037E001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6" w:type="dxa"/>
          </w:tcPr>
          <w:p w14:paraId="0A995BB6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3A17" w14:paraId="700E4B02" w14:textId="77777777">
        <w:tc>
          <w:tcPr>
            <w:tcW w:w="4450" w:type="dxa"/>
          </w:tcPr>
          <w:p w14:paraId="5692A843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6" w:type="dxa"/>
          </w:tcPr>
          <w:p w14:paraId="534DF073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6F6086C2" w14:textId="77777777" w:rsidR="00E53A17" w:rsidRDefault="00B05B9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Table 2: Fixed Prices</w:t>
      </w:r>
    </w:p>
    <w:p w14:paraId="651EA434" w14:textId="77777777" w:rsidR="00E53A17" w:rsidRDefault="00B05B92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hanging="426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rates below shall [not] be subject to variation by way of Indexation</w:t>
      </w:r>
    </w:p>
    <w:tbl>
      <w:tblPr>
        <w:tblStyle w:val="a0"/>
        <w:tblW w:w="901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508"/>
        <w:gridCol w:w="4508"/>
      </w:tblGrid>
      <w:tr w:rsidR="00E53A17" w14:paraId="56B84BD6" w14:textId="77777777">
        <w:tc>
          <w:tcPr>
            <w:tcW w:w="4508" w:type="dxa"/>
            <w:shd w:val="clear" w:color="auto" w:fill="548DD4"/>
          </w:tcPr>
          <w:p w14:paraId="638E561A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Type of Charge</w:t>
            </w:r>
          </w:p>
        </w:tc>
        <w:tc>
          <w:tcPr>
            <w:tcW w:w="4508" w:type="dxa"/>
            <w:shd w:val="clear" w:color="auto" w:fill="548DD4"/>
          </w:tcPr>
          <w:p w14:paraId="6689FCE8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Fixed Charge (£)</w:t>
            </w:r>
          </w:p>
        </w:tc>
      </w:tr>
      <w:tr w:rsidR="00E53A17" w14:paraId="60604186" w14:textId="77777777">
        <w:tc>
          <w:tcPr>
            <w:tcW w:w="4508" w:type="dxa"/>
          </w:tcPr>
          <w:p w14:paraId="77423EBC" w14:textId="150D1C15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08" w:type="dxa"/>
            <w:shd w:val="clear" w:color="auto" w:fill="FFFFFF"/>
          </w:tcPr>
          <w:p w14:paraId="436DA503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3A17" w14:paraId="39E96AFB" w14:textId="77777777">
        <w:tc>
          <w:tcPr>
            <w:tcW w:w="4508" w:type="dxa"/>
          </w:tcPr>
          <w:p w14:paraId="67BE9EEC" w14:textId="32FAFC90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08" w:type="dxa"/>
            <w:shd w:val="clear" w:color="auto" w:fill="FFFFFF"/>
          </w:tcPr>
          <w:p w14:paraId="16E3BD7F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4ABA01B7" w14:textId="77777777" w:rsidR="00E53A17" w:rsidRDefault="00E53A17">
      <w:pPr>
        <w:rPr>
          <w:rFonts w:ascii="Arial" w:eastAsia="Arial" w:hAnsi="Arial" w:cs="Arial"/>
          <w:b/>
          <w:smallCaps/>
          <w:sz w:val="24"/>
          <w:szCs w:val="24"/>
        </w:rPr>
      </w:pPr>
      <w:bookmarkStart w:id="7" w:name="_heading=h.4d34og8" w:colFirst="0" w:colLast="0"/>
      <w:bookmarkEnd w:id="7"/>
    </w:p>
    <w:p w14:paraId="5CE09DD9" w14:textId="77777777" w:rsidR="00E53A17" w:rsidRDefault="00B05B9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Table 3: Volume Based Prices</w:t>
      </w:r>
    </w:p>
    <w:p w14:paraId="30147BE7" w14:textId="77777777" w:rsidR="00E53A17" w:rsidRDefault="00B05B92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-142" w:hanging="425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rates below shall [not] be subject to variation by way of Indexation</w:t>
      </w:r>
    </w:p>
    <w:tbl>
      <w:tblPr>
        <w:tblStyle w:val="a1"/>
        <w:tblW w:w="901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254"/>
        <w:gridCol w:w="2254"/>
        <w:gridCol w:w="2254"/>
        <w:gridCol w:w="2254"/>
      </w:tblGrid>
      <w:tr w:rsidR="00E53A17" w14:paraId="5B24CFFA" w14:textId="77777777">
        <w:tc>
          <w:tcPr>
            <w:tcW w:w="2254" w:type="dxa"/>
            <w:shd w:val="clear" w:color="auto" w:fill="548DD4"/>
          </w:tcPr>
          <w:p w14:paraId="1CE2203E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 Number</w:t>
            </w:r>
          </w:p>
        </w:tc>
        <w:tc>
          <w:tcPr>
            <w:tcW w:w="2254" w:type="dxa"/>
            <w:shd w:val="clear" w:color="auto" w:fill="548DD4"/>
          </w:tcPr>
          <w:p w14:paraId="29FB9D67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Unit</w:t>
            </w:r>
          </w:p>
        </w:tc>
        <w:tc>
          <w:tcPr>
            <w:tcW w:w="2254" w:type="dxa"/>
            <w:shd w:val="clear" w:color="auto" w:fill="548DD4"/>
          </w:tcPr>
          <w:p w14:paraId="34D238B5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Number of units per Service Period</w:t>
            </w:r>
          </w:p>
        </w:tc>
        <w:tc>
          <w:tcPr>
            <w:tcW w:w="2254" w:type="dxa"/>
            <w:shd w:val="clear" w:color="auto" w:fill="548DD4"/>
          </w:tcPr>
          <w:p w14:paraId="7FD64BBF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 per unit (£)</w:t>
            </w:r>
          </w:p>
        </w:tc>
      </w:tr>
      <w:tr w:rsidR="00E53A17" w14:paraId="4DB1F40B" w14:textId="77777777">
        <w:tc>
          <w:tcPr>
            <w:tcW w:w="2254" w:type="dxa"/>
            <w:vMerge w:val="restart"/>
          </w:tcPr>
          <w:p w14:paraId="2E4B91BF" w14:textId="61B7FD39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54" w:type="dxa"/>
            <w:vMerge w:val="restart"/>
          </w:tcPr>
          <w:p w14:paraId="242323C1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31F7502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] - [         ]</w:t>
            </w:r>
          </w:p>
        </w:tc>
        <w:tc>
          <w:tcPr>
            <w:tcW w:w="2254" w:type="dxa"/>
          </w:tcPr>
          <w:p w14:paraId="18D8BC06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          ]</w:t>
            </w:r>
          </w:p>
        </w:tc>
      </w:tr>
      <w:tr w:rsidR="00E53A17" w14:paraId="7C973692" w14:textId="77777777">
        <w:trPr>
          <w:trHeight w:val="700"/>
        </w:trPr>
        <w:tc>
          <w:tcPr>
            <w:tcW w:w="2254" w:type="dxa"/>
            <w:vMerge/>
          </w:tcPr>
          <w:p w14:paraId="3EEC16DF" w14:textId="77777777" w:rsidR="00E53A17" w:rsidRDefault="00E5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14:paraId="023650CB" w14:textId="77777777" w:rsidR="00E53A17" w:rsidRDefault="00E5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8C61ECF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] - [         ]</w:t>
            </w:r>
          </w:p>
        </w:tc>
        <w:tc>
          <w:tcPr>
            <w:tcW w:w="2254" w:type="dxa"/>
          </w:tcPr>
          <w:p w14:paraId="6398EBB4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          ]</w:t>
            </w:r>
          </w:p>
        </w:tc>
      </w:tr>
      <w:tr w:rsidR="00E53A17" w14:paraId="447DF233" w14:textId="77777777">
        <w:tc>
          <w:tcPr>
            <w:tcW w:w="2254" w:type="dxa"/>
            <w:vMerge w:val="restart"/>
          </w:tcPr>
          <w:p w14:paraId="50158B9B" w14:textId="7256B602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54" w:type="dxa"/>
            <w:vMerge w:val="restart"/>
          </w:tcPr>
          <w:p w14:paraId="659989DB" w14:textId="77777777" w:rsidR="00E53A17" w:rsidRDefault="00E53A1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E4A7A83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] - [         ]</w:t>
            </w:r>
          </w:p>
        </w:tc>
        <w:tc>
          <w:tcPr>
            <w:tcW w:w="2254" w:type="dxa"/>
          </w:tcPr>
          <w:p w14:paraId="1A4AD945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          ]</w:t>
            </w:r>
          </w:p>
        </w:tc>
      </w:tr>
      <w:tr w:rsidR="00E53A17" w14:paraId="5CFF1064" w14:textId="77777777">
        <w:tc>
          <w:tcPr>
            <w:tcW w:w="2254" w:type="dxa"/>
            <w:vMerge/>
          </w:tcPr>
          <w:p w14:paraId="2EC168F8" w14:textId="77777777" w:rsidR="00E53A17" w:rsidRDefault="00E5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14:paraId="4CE4AEC9" w14:textId="77777777" w:rsidR="00E53A17" w:rsidRDefault="00E5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C1233CD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] - [         ]</w:t>
            </w:r>
          </w:p>
        </w:tc>
        <w:tc>
          <w:tcPr>
            <w:tcW w:w="2254" w:type="dxa"/>
          </w:tcPr>
          <w:p w14:paraId="615A370E" w14:textId="77777777" w:rsidR="00E53A17" w:rsidRDefault="00B05B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                  ]</w:t>
            </w:r>
          </w:p>
        </w:tc>
      </w:tr>
    </w:tbl>
    <w:p w14:paraId="4024B348" w14:textId="77777777" w:rsidR="00E53A17" w:rsidRDefault="00E53A17">
      <w:pPr>
        <w:rPr>
          <w:rFonts w:ascii="Arial" w:eastAsia="Arial" w:hAnsi="Arial" w:cs="Arial"/>
          <w:b/>
          <w:sz w:val="24"/>
          <w:szCs w:val="24"/>
        </w:rPr>
      </w:pPr>
    </w:p>
    <w:sectPr w:rsidR="00E53A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5FB64" w14:textId="77777777" w:rsidR="00000000" w:rsidRDefault="00B05B92">
      <w:pPr>
        <w:spacing w:after="0" w:line="240" w:lineRule="auto"/>
      </w:pPr>
      <w:r>
        <w:separator/>
      </w:r>
    </w:p>
  </w:endnote>
  <w:endnote w:type="continuationSeparator" w:id="0">
    <w:p w14:paraId="26030392" w14:textId="77777777" w:rsidR="00000000" w:rsidRDefault="00B05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D1A94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Mid-tier contract</w:t>
    </w:r>
  </w:p>
  <w:p w14:paraId="3ED180B9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</w:p>
  <w:p w14:paraId="064414D9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CE081ED" w14:textId="77777777" w:rsidR="00E53A17" w:rsidRDefault="00B05B92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color w:val="BFBFBF"/>
      </w:rPr>
      <w:tab/>
    </w:r>
    <w:r>
      <w:rPr>
        <w:color w:val="BFBFBF"/>
      </w:rP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CF854" w14:textId="77777777" w:rsidR="00E53A17" w:rsidRDefault="00B05B92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617F7EE9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334AD06" w14:textId="77777777" w:rsidR="00E53A17" w:rsidRDefault="00B05B92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E9AA9" w14:textId="77777777" w:rsidR="00000000" w:rsidRDefault="00B05B92">
      <w:pPr>
        <w:spacing w:after="0" w:line="240" w:lineRule="auto"/>
      </w:pPr>
      <w:r>
        <w:separator/>
      </w:r>
    </w:p>
  </w:footnote>
  <w:footnote w:type="continuationSeparator" w:id="0">
    <w:p w14:paraId="7351E5EC" w14:textId="77777777" w:rsidR="00000000" w:rsidRDefault="00B05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E124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3 (Charges)</w:t>
    </w:r>
  </w:p>
  <w:p w14:paraId="6B831E9B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E7FC7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(Charges)</w:t>
    </w:r>
  </w:p>
  <w:p w14:paraId="4828C039" w14:textId="77777777" w:rsidR="00E53A17" w:rsidRDefault="00B05B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7706B"/>
    <w:multiLevelType w:val="multilevel"/>
    <w:tmpl w:val="0DBA1C7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BE72A78"/>
    <w:multiLevelType w:val="multilevel"/>
    <w:tmpl w:val="D85CF552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17"/>
    <w:rsid w:val="00B05B92"/>
    <w:rsid w:val="00E5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80EE"/>
  <w15:docId w15:val="{7B1AC0C8-718D-442D-AA21-F552090F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8HWqXE6d7fykkU0eQ12fefxrXg==">AMUW2mW768xWki/u6lVGHQOLHL3YCpIxItDLVEOSe+cOa8yir+j+iPRdkXqIHgRwXVhpWBY1KEXVysPZCEGu25+mezINB7KUQGnfS3lMx7YwhK0pHvEBI9kFrIfHwvTZhSk4PLbGaa4JgpG65cBIM6cPB9T0O6NWmIlJ0y98m5PlGpNxz4ELzkCmGRF/9qjuSwaOk0XEqkjknIWvGKEQrnHEhlY6xzba/X+WUowR28JCKNaqCPp7RMw=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749</Words>
  <Characters>4275</Characters>
  <Application>Microsoft Office Word</Application>
  <DocSecurity>4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Williams</dc:creator>
  <cp:lastModifiedBy>Andrew Williams</cp:lastModifiedBy>
  <cp:revision>2</cp:revision>
  <dcterms:created xsi:type="dcterms:W3CDTF">2021-07-13T12:32:00Z</dcterms:created>
  <dcterms:modified xsi:type="dcterms:W3CDTF">2021-07-13T12:32:00Z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